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EC" w:rsidRDefault="006E1FEC" w:rsidP="006E1FEC">
      <w:pPr>
        <w:pStyle w:val="Nadpis1"/>
        <w:numPr>
          <w:ilvl w:val="0"/>
          <w:numId w:val="0"/>
        </w:numPr>
        <w:spacing w:before="120" w:after="120"/>
        <w:ind w:left="432" w:hanging="432"/>
        <w:jc w:val="both"/>
        <w:rPr>
          <w:sz w:val="28"/>
          <w:szCs w:val="28"/>
        </w:rPr>
      </w:pPr>
      <w:bookmarkStart w:id="0" w:name="_Toc485829193"/>
      <w:r w:rsidRPr="00B97B25">
        <w:rPr>
          <w:sz w:val="28"/>
          <w:szCs w:val="28"/>
        </w:rPr>
        <w:t xml:space="preserve">Pravidla pro vyřizování stížností a reklamací </w:t>
      </w:r>
      <w:r>
        <w:rPr>
          <w:sz w:val="28"/>
          <w:szCs w:val="28"/>
        </w:rPr>
        <w:t>k</w:t>
      </w:r>
      <w:r w:rsidRPr="00B97B25">
        <w:rPr>
          <w:sz w:val="28"/>
          <w:szCs w:val="28"/>
        </w:rPr>
        <w:t>lientů</w:t>
      </w:r>
      <w:bookmarkEnd w:id="0"/>
    </w:p>
    <w:p w:rsidR="006E1FEC" w:rsidRPr="0061502F" w:rsidRDefault="006E1FEC" w:rsidP="006E1FEC">
      <w:bookmarkStart w:id="1" w:name="_GoBack"/>
      <w:bookmarkEnd w:id="1"/>
    </w:p>
    <w:p w:rsidR="006E1FEC" w:rsidRDefault="006E1FEC" w:rsidP="006E1FEC">
      <w:pPr>
        <w:pStyle w:val="Nadpis2"/>
        <w:numPr>
          <w:ilvl w:val="0"/>
          <w:numId w:val="0"/>
        </w:numPr>
        <w:spacing w:before="120" w:after="120"/>
      </w:pPr>
      <w:bookmarkStart w:id="2" w:name="_Toc485829194"/>
      <w:r>
        <w:t>Stížnost</w:t>
      </w:r>
      <w:bookmarkEnd w:id="2"/>
    </w:p>
    <w:p w:rsidR="006E1FEC" w:rsidRPr="001B0EA3" w:rsidRDefault="006E1FEC" w:rsidP="006E1FEC">
      <w:pPr>
        <w:spacing w:before="120" w:after="120"/>
        <w:jc w:val="both"/>
        <w:rPr>
          <w:sz w:val="22"/>
          <w:szCs w:val="22"/>
        </w:rPr>
      </w:pPr>
      <w:r w:rsidRPr="001B0EA3">
        <w:rPr>
          <w:sz w:val="22"/>
          <w:szCs w:val="22"/>
        </w:rPr>
        <w:t xml:space="preserve">Za stížnost se považuje takové sdělení, ve kterém </w:t>
      </w:r>
      <w:r>
        <w:rPr>
          <w:sz w:val="22"/>
          <w:szCs w:val="22"/>
        </w:rPr>
        <w:t>klient</w:t>
      </w:r>
      <w:r w:rsidRPr="001B0EA3">
        <w:rPr>
          <w:sz w:val="22"/>
          <w:szCs w:val="22"/>
        </w:rPr>
        <w:t xml:space="preserve"> vyjadřuje nesouhlas </w:t>
      </w:r>
      <w:r>
        <w:rPr>
          <w:sz w:val="22"/>
          <w:szCs w:val="22"/>
        </w:rPr>
        <w:t xml:space="preserve">s činností, jiné než reklamace dle </w:t>
      </w:r>
      <w:r>
        <w:rPr>
          <w:sz w:val="22"/>
          <w:szCs w:val="22"/>
        </w:rPr>
        <w:t>níže uvedeného odstavce</w:t>
      </w:r>
      <w:r w:rsidRPr="001B0EA3">
        <w:rPr>
          <w:sz w:val="22"/>
          <w:szCs w:val="22"/>
        </w:rPr>
        <w:t>.</w:t>
      </w:r>
    </w:p>
    <w:p w:rsidR="006E1FEC" w:rsidRPr="00B97B25" w:rsidRDefault="006E1FEC" w:rsidP="006E1FEC">
      <w:pPr>
        <w:spacing w:before="120" w:after="120"/>
        <w:jc w:val="both"/>
        <w:rPr>
          <w:sz w:val="22"/>
          <w:szCs w:val="22"/>
        </w:rPr>
      </w:pPr>
      <w:r w:rsidRPr="00B97B25">
        <w:rPr>
          <w:sz w:val="22"/>
          <w:szCs w:val="22"/>
        </w:rPr>
        <w:t xml:space="preserve">Pokud </w:t>
      </w:r>
      <w:r>
        <w:rPr>
          <w:sz w:val="22"/>
          <w:szCs w:val="22"/>
        </w:rPr>
        <w:t xml:space="preserve">poradce </w:t>
      </w:r>
      <w:r w:rsidRPr="00B97B25">
        <w:rPr>
          <w:sz w:val="22"/>
          <w:szCs w:val="22"/>
        </w:rPr>
        <w:t xml:space="preserve">obdrží od </w:t>
      </w:r>
      <w:r>
        <w:rPr>
          <w:sz w:val="22"/>
          <w:szCs w:val="22"/>
        </w:rPr>
        <w:t>k</w:t>
      </w:r>
      <w:r w:rsidRPr="00B97B25">
        <w:rPr>
          <w:sz w:val="22"/>
          <w:szCs w:val="22"/>
        </w:rPr>
        <w:t>lienta stížnost v souvislosti s</w:t>
      </w:r>
      <w:r>
        <w:rPr>
          <w:sz w:val="22"/>
          <w:szCs w:val="22"/>
        </w:rPr>
        <w:t> činností</w:t>
      </w:r>
      <w:r w:rsidRPr="00B97B25">
        <w:rPr>
          <w:sz w:val="22"/>
          <w:szCs w:val="22"/>
        </w:rPr>
        <w:t xml:space="preserve">, je povinen tuto stížnost bezodkladně předat </w:t>
      </w:r>
      <w:r>
        <w:rPr>
          <w:sz w:val="22"/>
          <w:szCs w:val="22"/>
        </w:rPr>
        <w:t xml:space="preserve">jednateli </w:t>
      </w:r>
      <w:r>
        <w:rPr>
          <w:sz w:val="22"/>
        </w:rPr>
        <w:t>společnost</w:t>
      </w:r>
      <w:r>
        <w:rPr>
          <w:sz w:val="22"/>
          <w:szCs w:val="22"/>
        </w:rPr>
        <w:t xml:space="preserve">i a </w:t>
      </w:r>
      <w:r w:rsidRPr="006B2EF5">
        <w:rPr>
          <w:sz w:val="22"/>
          <w:szCs w:val="22"/>
        </w:rPr>
        <w:t xml:space="preserve">zaznamenat stížnost </w:t>
      </w:r>
      <w:r>
        <w:rPr>
          <w:sz w:val="22"/>
          <w:szCs w:val="22"/>
        </w:rPr>
        <w:t xml:space="preserve">do </w:t>
      </w:r>
      <w:r w:rsidRPr="006B2EF5">
        <w:rPr>
          <w:sz w:val="22"/>
          <w:szCs w:val="22"/>
        </w:rPr>
        <w:t>příslušné evidence</w:t>
      </w:r>
      <w:r>
        <w:rPr>
          <w:sz w:val="22"/>
          <w:szCs w:val="22"/>
        </w:rPr>
        <w:t xml:space="preserve"> „Seznam stížností“.</w:t>
      </w:r>
    </w:p>
    <w:p w:rsidR="006E1FEC" w:rsidRPr="00B97B25" w:rsidRDefault="006E1FEC" w:rsidP="006E1FE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Poradce, který obdržel stížnost,</w:t>
      </w:r>
      <w:r w:rsidRPr="00B97B25">
        <w:rPr>
          <w:sz w:val="22"/>
          <w:szCs w:val="22"/>
        </w:rPr>
        <w:t xml:space="preserve"> je dále povin</w:t>
      </w:r>
      <w:r>
        <w:rPr>
          <w:sz w:val="22"/>
          <w:szCs w:val="22"/>
        </w:rPr>
        <w:t>en</w:t>
      </w:r>
      <w:r w:rsidRPr="00B97B25">
        <w:rPr>
          <w:sz w:val="22"/>
          <w:szCs w:val="22"/>
        </w:rPr>
        <w:t xml:space="preserve"> poskytnout </w:t>
      </w:r>
      <w:r>
        <w:rPr>
          <w:sz w:val="22"/>
        </w:rPr>
        <w:t>společnosti</w:t>
      </w:r>
      <w:r w:rsidRPr="00B97B25">
        <w:rPr>
          <w:sz w:val="22"/>
          <w:szCs w:val="22"/>
        </w:rPr>
        <w:t xml:space="preserve"> součinnost při vyšetření všech relevantních důkazů a informací týkajících se dané stížnosti a v reportování daných stížností </w:t>
      </w:r>
      <w:r>
        <w:rPr>
          <w:sz w:val="22"/>
          <w:szCs w:val="22"/>
        </w:rPr>
        <w:t>ČNB</w:t>
      </w:r>
      <w:r w:rsidRPr="00B97B25">
        <w:rPr>
          <w:sz w:val="22"/>
          <w:szCs w:val="22"/>
        </w:rPr>
        <w:t xml:space="preserve"> či </w:t>
      </w:r>
      <w:r>
        <w:rPr>
          <w:sz w:val="22"/>
          <w:szCs w:val="22"/>
        </w:rPr>
        <w:t>ve stanovených případech finančnímu arbitrovi.</w:t>
      </w:r>
    </w:p>
    <w:p w:rsidR="006E1FEC" w:rsidRPr="00B97B25" w:rsidRDefault="006E1FEC" w:rsidP="006E1FE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Poradce a další osoby podílející se na činnosti </w:t>
      </w:r>
      <w:r w:rsidRPr="00B97B25">
        <w:rPr>
          <w:sz w:val="22"/>
          <w:szCs w:val="22"/>
        </w:rPr>
        <w:t>j</w:t>
      </w:r>
      <w:r>
        <w:rPr>
          <w:sz w:val="22"/>
          <w:szCs w:val="22"/>
        </w:rPr>
        <w:t>sou v případě obdržení stížnosti povinni:</w:t>
      </w:r>
    </w:p>
    <w:p w:rsidR="006E1FEC" w:rsidRPr="00B97B25" w:rsidRDefault="006E1FEC" w:rsidP="006E1FEC">
      <w:pPr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B97B25">
        <w:rPr>
          <w:sz w:val="22"/>
          <w:szCs w:val="22"/>
        </w:rPr>
        <w:t>na požádání nebo v souvislosti s potvrzením přijetí stížnosti poskytovat</w:t>
      </w:r>
      <w:r>
        <w:rPr>
          <w:sz w:val="22"/>
          <w:szCs w:val="22"/>
        </w:rPr>
        <w:t xml:space="preserve"> jednateli společnosti </w:t>
      </w:r>
      <w:r w:rsidRPr="00B97B25">
        <w:rPr>
          <w:sz w:val="22"/>
          <w:szCs w:val="22"/>
        </w:rPr>
        <w:t>písemné informace o</w:t>
      </w:r>
      <w:r>
        <w:rPr>
          <w:sz w:val="22"/>
          <w:szCs w:val="22"/>
        </w:rPr>
        <w:t> </w:t>
      </w:r>
      <w:r w:rsidRPr="00B97B25">
        <w:rPr>
          <w:sz w:val="22"/>
          <w:szCs w:val="22"/>
        </w:rPr>
        <w:t>svém postupu vyřizování stížností;</w:t>
      </w:r>
    </w:p>
    <w:p w:rsidR="006E1FEC" w:rsidRPr="00B97B25" w:rsidRDefault="006E1FEC" w:rsidP="006E1FEC">
      <w:pPr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B97B25">
        <w:rPr>
          <w:sz w:val="22"/>
          <w:szCs w:val="22"/>
        </w:rPr>
        <w:t>zveřejňovat podrobnosti o svém postupu vyřizování stížností způsobem</w:t>
      </w:r>
      <w:r>
        <w:rPr>
          <w:sz w:val="22"/>
          <w:szCs w:val="22"/>
        </w:rPr>
        <w:t xml:space="preserve"> klientům snadno přístupným</w:t>
      </w:r>
      <w:r w:rsidRPr="00B97B25">
        <w:rPr>
          <w:sz w:val="22"/>
          <w:szCs w:val="22"/>
        </w:rPr>
        <w:t>;</w:t>
      </w:r>
    </w:p>
    <w:p w:rsidR="006E1FEC" w:rsidRPr="00B97B25" w:rsidRDefault="006E1FEC" w:rsidP="006E1FEC">
      <w:pPr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B97B25">
        <w:rPr>
          <w:sz w:val="22"/>
          <w:szCs w:val="22"/>
        </w:rPr>
        <w:t>poskytova</w:t>
      </w:r>
      <w:r>
        <w:rPr>
          <w:sz w:val="22"/>
          <w:szCs w:val="22"/>
        </w:rPr>
        <w:t>t</w:t>
      </w:r>
      <w:r w:rsidRPr="00B97B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klientům </w:t>
      </w:r>
      <w:r w:rsidRPr="00B97B25">
        <w:rPr>
          <w:sz w:val="22"/>
          <w:szCs w:val="22"/>
        </w:rPr>
        <w:t xml:space="preserve">jasné, přesné a aktuální informace o postupu </w:t>
      </w:r>
      <w:r>
        <w:rPr>
          <w:sz w:val="22"/>
          <w:szCs w:val="22"/>
        </w:rPr>
        <w:t xml:space="preserve">při podávání a </w:t>
      </w:r>
      <w:r w:rsidRPr="00B97B25">
        <w:rPr>
          <w:sz w:val="22"/>
          <w:szCs w:val="22"/>
        </w:rPr>
        <w:t>vyřizování stížností zahrnující:</w:t>
      </w:r>
    </w:p>
    <w:p w:rsidR="006E1FEC" w:rsidRPr="00B97B25" w:rsidRDefault="006E1FEC" w:rsidP="006E1FEC">
      <w:pPr>
        <w:numPr>
          <w:ilvl w:val="1"/>
          <w:numId w:val="3"/>
        </w:numPr>
        <w:spacing w:before="120" w:after="120"/>
        <w:ind w:left="567" w:hanging="283"/>
        <w:jc w:val="both"/>
        <w:rPr>
          <w:sz w:val="22"/>
          <w:szCs w:val="22"/>
        </w:rPr>
      </w:pPr>
      <w:r w:rsidRPr="00B97B25">
        <w:rPr>
          <w:sz w:val="22"/>
          <w:szCs w:val="22"/>
        </w:rPr>
        <w:t xml:space="preserve">podrobné údaje o tom, jak podat stížnost (např. druh informací, které musí stěžovatel uvést, totožnost a kontaktní údaje </w:t>
      </w:r>
      <w:r>
        <w:rPr>
          <w:sz w:val="22"/>
          <w:szCs w:val="22"/>
        </w:rPr>
        <w:t>poradce</w:t>
      </w:r>
      <w:r w:rsidRPr="00B97B25">
        <w:rPr>
          <w:sz w:val="22"/>
          <w:szCs w:val="22"/>
        </w:rPr>
        <w:t xml:space="preserve"> nebo </w:t>
      </w:r>
      <w:r>
        <w:rPr>
          <w:sz w:val="22"/>
          <w:szCs w:val="22"/>
        </w:rPr>
        <w:t>úseku společnosti</w:t>
      </w:r>
      <w:r w:rsidRPr="00B97B25">
        <w:rPr>
          <w:sz w:val="22"/>
          <w:szCs w:val="22"/>
        </w:rPr>
        <w:t>, kterému by daná stížnost měla být určena);</w:t>
      </w:r>
    </w:p>
    <w:p w:rsidR="006E1FEC" w:rsidRPr="00B97B25" w:rsidRDefault="006E1FEC" w:rsidP="006E1FEC">
      <w:pPr>
        <w:numPr>
          <w:ilvl w:val="1"/>
          <w:numId w:val="3"/>
        </w:numPr>
        <w:spacing w:before="120" w:after="120"/>
        <w:ind w:left="567" w:hanging="283"/>
        <w:jc w:val="both"/>
        <w:rPr>
          <w:sz w:val="22"/>
          <w:szCs w:val="22"/>
        </w:rPr>
      </w:pPr>
      <w:r w:rsidRPr="00B97B25">
        <w:rPr>
          <w:sz w:val="22"/>
          <w:szCs w:val="22"/>
        </w:rPr>
        <w:t>postup, který bude při vyřizování stížností uplatňován (např. kdy bude stěžovatel vyrozuměn, orientační lhůty zpracování, dostupnost příslušného orgánu, veřejného ochránce práv nebo</w:t>
      </w:r>
      <w:r>
        <w:rPr>
          <w:sz w:val="22"/>
          <w:szCs w:val="22"/>
        </w:rPr>
        <w:t> </w:t>
      </w:r>
      <w:r w:rsidRPr="00B97B25">
        <w:rPr>
          <w:sz w:val="22"/>
          <w:szCs w:val="22"/>
        </w:rPr>
        <w:t>mechanismu alternativního řešení sporů atd.); a</w:t>
      </w:r>
    </w:p>
    <w:p w:rsidR="006E1FEC" w:rsidRDefault="006E1FEC" w:rsidP="006E1FEC">
      <w:pPr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B97B25">
        <w:rPr>
          <w:sz w:val="22"/>
          <w:szCs w:val="22"/>
        </w:rPr>
        <w:t>průběžně stěžovatele informovat o dalším zpracování stížnosti.</w:t>
      </w:r>
    </w:p>
    <w:p w:rsidR="006E1FEC" w:rsidRDefault="006E1FEC" w:rsidP="006E1FE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1B0EA3">
        <w:rPr>
          <w:sz w:val="22"/>
          <w:szCs w:val="22"/>
        </w:rPr>
        <w:t>opie všech stížností</w:t>
      </w:r>
      <w:r>
        <w:rPr>
          <w:sz w:val="22"/>
          <w:szCs w:val="22"/>
        </w:rPr>
        <w:t xml:space="preserve"> jsou evidovány a archivovány v souladu s příslušnými právním předpisy             a vnitřními postupy pro zpracování a evidenci informací. </w:t>
      </w:r>
    </w:p>
    <w:p w:rsidR="006E1FEC" w:rsidRDefault="006E1FEC" w:rsidP="006E1FEC">
      <w:pPr>
        <w:spacing w:before="120" w:after="120"/>
        <w:jc w:val="both"/>
        <w:rPr>
          <w:sz w:val="22"/>
          <w:szCs w:val="22"/>
        </w:rPr>
      </w:pPr>
    </w:p>
    <w:p w:rsidR="006E1FEC" w:rsidRPr="001B0EA3" w:rsidRDefault="006E1FEC" w:rsidP="006E1FEC">
      <w:pPr>
        <w:pStyle w:val="Nadpis2"/>
        <w:numPr>
          <w:ilvl w:val="0"/>
          <w:numId w:val="0"/>
        </w:numPr>
        <w:spacing w:before="120" w:after="120"/>
        <w:rPr>
          <w:sz w:val="22"/>
          <w:szCs w:val="22"/>
        </w:rPr>
      </w:pPr>
      <w:bookmarkStart w:id="3" w:name="_Ref427830334"/>
      <w:bookmarkStart w:id="4" w:name="_Toc485829195"/>
      <w:r w:rsidRPr="00B97B25">
        <w:t>Reklamace</w:t>
      </w:r>
      <w:bookmarkEnd w:id="3"/>
      <w:bookmarkEnd w:id="4"/>
    </w:p>
    <w:p w:rsidR="006E1FEC" w:rsidRPr="001B0EA3" w:rsidRDefault="006E1FEC" w:rsidP="006E1FEC">
      <w:pPr>
        <w:spacing w:before="120" w:after="120"/>
        <w:jc w:val="both"/>
        <w:rPr>
          <w:sz w:val="22"/>
          <w:szCs w:val="22"/>
        </w:rPr>
      </w:pPr>
      <w:r w:rsidRPr="001B0EA3">
        <w:rPr>
          <w:sz w:val="22"/>
          <w:szCs w:val="22"/>
        </w:rPr>
        <w:t xml:space="preserve">Za reklamaci se považuje takové písemné sdělení, ve kterém </w:t>
      </w:r>
      <w:r>
        <w:rPr>
          <w:sz w:val="22"/>
          <w:szCs w:val="22"/>
        </w:rPr>
        <w:t>klient</w:t>
      </w:r>
      <w:r w:rsidRPr="001B0EA3">
        <w:rPr>
          <w:sz w:val="22"/>
          <w:szCs w:val="22"/>
        </w:rPr>
        <w:t xml:space="preserve"> vyjadřuje</w:t>
      </w:r>
      <w:r>
        <w:rPr>
          <w:sz w:val="22"/>
          <w:szCs w:val="22"/>
        </w:rPr>
        <w:t xml:space="preserve"> nesouhlas se způsobem a </w:t>
      </w:r>
      <w:r w:rsidRPr="001B0EA3">
        <w:rPr>
          <w:sz w:val="22"/>
          <w:szCs w:val="22"/>
        </w:rPr>
        <w:t>výsledkem zajištění konkrétní služby</w:t>
      </w:r>
      <w:r>
        <w:rPr>
          <w:sz w:val="22"/>
          <w:szCs w:val="22"/>
        </w:rPr>
        <w:t xml:space="preserve"> </w:t>
      </w:r>
      <w:r w:rsidRPr="001B0EA3">
        <w:rPr>
          <w:sz w:val="22"/>
          <w:szCs w:val="22"/>
        </w:rPr>
        <w:t xml:space="preserve">objednané </w:t>
      </w:r>
      <w:r>
        <w:rPr>
          <w:sz w:val="22"/>
          <w:szCs w:val="22"/>
        </w:rPr>
        <w:t>klientem, způsobující vadu služby</w:t>
      </w:r>
      <w:r w:rsidRPr="001B0EA3">
        <w:rPr>
          <w:sz w:val="22"/>
          <w:szCs w:val="22"/>
        </w:rPr>
        <w:t xml:space="preserve">. Reklamaci má právo podat každý </w:t>
      </w:r>
      <w:r>
        <w:rPr>
          <w:sz w:val="22"/>
          <w:szCs w:val="22"/>
        </w:rPr>
        <w:t>klient</w:t>
      </w:r>
      <w:r w:rsidRPr="001B0EA3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z w:val="22"/>
        </w:rPr>
        <w:t>polečnosti</w:t>
      </w:r>
      <w:r w:rsidRPr="001B0EA3">
        <w:rPr>
          <w:sz w:val="22"/>
          <w:szCs w:val="22"/>
        </w:rPr>
        <w:t>.</w:t>
      </w:r>
    </w:p>
    <w:p w:rsidR="006E1FEC" w:rsidRPr="001B0EA3" w:rsidRDefault="006E1FEC" w:rsidP="006E1FEC">
      <w:pPr>
        <w:spacing w:before="120" w:after="120"/>
        <w:jc w:val="both"/>
        <w:rPr>
          <w:sz w:val="22"/>
          <w:szCs w:val="22"/>
        </w:rPr>
      </w:pPr>
      <w:r w:rsidRPr="001B0EA3">
        <w:rPr>
          <w:sz w:val="22"/>
          <w:szCs w:val="22"/>
        </w:rPr>
        <w:t xml:space="preserve">Reklamaci může </w:t>
      </w:r>
      <w:r>
        <w:rPr>
          <w:sz w:val="22"/>
          <w:szCs w:val="22"/>
        </w:rPr>
        <w:t>klient</w:t>
      </w:r>
      <w:r w:rsidRPr="001B0EA3">
        <w:rPr>
          <w:sz w:val="22"/>
          <w:szCs w:val="22"/>
        </w:rPr>
        <w:t xml:space="preserve"> (i) zaslat e-mail</w:t>
      </w:r>
      <w:r>
        <w:rPr>
          <w:sz w:val="22"/>
          <w:szCs w:val="22"/>
        </w:rPr>
        <w:t>em</w:t>
      </w:r>
      <w:r w:rsidRPr="001B0EA3">
        <w:rPr>
          <w:sz w:val="22"/>
          <w:szCs w:val="22"/>
        </w:rPr>
        <w:t xml:space="preserve"> na adresu </w:t>
      </w:r>
      <w:hyperlink r:id="rId5" w:history="1">
        <w:r w:rsidRPr="00205388">
          <w:rPr>
            <w:rStyle w:val="Hypertextovodkaz"/>
            <w:szCs w:val="22"/>
          </w:rPr>
          <w:t>azrisk@azrisk.cz</w:t>
        </w:r>
      </w:hyperlink>
      <w:r>
        <w:rPr>
          <w:sz w:val="22"/>
          <w:szCs w:val="22"/>
        </w:rPr>
        <w:t xml:space="preserve"> nebo ji </w:t>
      </w:r>
      <w:r w:rsidRPr="001B0EA3">
        <w:rPr>
          <w:sz w:val="22"/>
          <w:szCs w:val="22"/>
        </w:rPr>
        <w:t xml:space="preserve">zaslat dopisem </w:t>
      </w:r>
      <w:r>
        <w:rPr>
          <w:sz w:val="22"/>
          <w:szCs w:val="22"/>
        </w:rPr>
        <w:t xml:space="preserve">         </w:t>
      </w:r>
      <w:r w:rsidRPr="001B0EA3">
        <w:rPr>
          <w:sz w:val="22"/>
          <w:szCs w:val="22"/>
        </w:rPr>
        <w:t xml:space="preserve">do sídla </w:t>
      </w:r>
      <w:r>
        <w:rPr>
          <w:sz w:val="22"/>
        </w:rPr>
        <w:t>společnosti.</w:t>
      </w:r>
      <w:r w:rsidRPr="005A5FE4">
        <w:rPr>
          <w:sz w:val="22"/>
          <w:szCs w:val="22"/>
        </w:rPr>
        <w:t xml:space="preserve"> </w:t>
      </w:r>
      <w:r>
        <w:rPr>
          <w:sz w:val="22"/>
          <w:szCs w:val="22"/>
        </w:rPr>
        <w:t>Reklamace by měla být zaslána vždy</w:t>
      </w:r>
      <w:r w:rsidRPr="001B0EA3">
        <w:rPr>
          <w:sz w:val="22"/>
          <w:szCs w:val="22"/>
        </w:rPr>
        <w:t xml:space="preserve"> s výrazným označení</w:t>
      </w:r>
      <w:r>
        <w:rPr>
          <w:sz w:val="22"/>
          <w:szCs w:val="22"/>
        </w:rPr>
        <w:t xml:space="preserve">m „Reklamace“. Reklamaci je také možné sdělit </w:t>
      </w:r>
      <w:r>
        <w:rPr>
          <w:sz w:val="22"/>
        </w:rPr>
        <w:t>telefonicky na tel. č. 377 260 212 nebo ji sdělit osobně poradci</w:t>
      </w:r>
      <w:r>
        <w:rPr>
          <w:sz w:val="22"/>
          <w:szCs w:val="22"/>
        </w:rPr>
        <w:t>. Reklamaci či </w:t>
      </w:r>
      <w:r w:rsidRPr="001B0EA3">
        <w:rPr>
          <w:sz w:val="22"/>
          <w:szCs w:val="22"/>
        </w:rPr>
        <w:t xml:space="preserve">stížnost, kterou </w:t>
      </w:r>
      <w:r>
        <w:rPr>
          <w:sz w:val="22"/>
          <w:szCs w:val="22"/>
        </w:rPr>
        <w:t>k</w:t>
      </w:r>
      <w:r w:rsidRPr="001B0EA3">
        <w:rPr>
          <w:sz w:val="22"/>
          <w:szCs w:val="22"/>
        </w:rPr>
        <w:t xml:space="preserve">lient </w:t>
      </w:r>
      <w:r>
        <w:rPr>
          <w:sz w:val="22"/>
          <w:szCs w:val="22"/>
        </w:rPr>
        <w:t>s</w:t>
      </w:r>
      <w:r>
        <w:rPr>
          <w:sz w:val="22"/>
        </w:rPr>
        <w:t>polečnosti</w:t>
      </w:r>
      <w:r w:rsidRPr="001B0EA3">
        <w:rPr>
          <w:sz w:val="22"/>
          <w:szCs w:val="22"/>
        </w:rPr>
        <w:t xml:space="preserve"> sdělí telefonicky</w:t>
      </w:r>
      <w:r>
        <w:rPr>
          <w:sz w:val="22"/>
          <w:szCs w:val="22"/>
        </w:rPr>
        <w:t xml:space="preserve"> nebo osobně</w:t>
      </w:r>
      <w:r w:rsidRPr="001B0EA3">
        <w:rPr>
          <w:sz w:val="22"/>
          <w:szCs w:val="22"/>
        </w:rPr>
        <w:t xml:space="preserve">, je povinen </w:t>
      </w:r>
      <w:r>
        <w:rPr>
          <w:sz w:val="22"/>
          <w:szCs w:val="22"/>
        </w:rPr>
        <w:t>poradce</w:t>
      </w:r>
      <w:r w:rsidRPr="001B0EA3">
        <w:rPr>
          <w:sz w:val="22"/>
          <w:szCs w:val="22"/>
        </w:rPr>
        <w:t xml:space="preserve"> písemně zaznamenat a</w:t>
      </w:r>
      <w:r>
        <w:rPr>
          <w:sz w:val="22"/>
          <w:szCs w:val="22"/>
        </w:rPr>
        <w:t xml:space="preserve"> v souladu s tímto vnitřním předpisem a se stanovenými pracovními postupy vyřídit, případně</w:t>
      </w:r>
      <w:r w:rsidRPr="001B0EA3">
        <w:rPr>
          <w:sz w:val="22"/>
          <w:szCs w:val="22"/>
        </w:rPr>
        <w:t xml:space="preserve"> předat k vyřízení </w:t>
      </w:r>
      <w:r>
        <w:rPr>
          <w:sz w:val="22"/>
          <w:szCs w:val="22"/>
        </w:rPr>
        <w:t xml:space="preserve">jinému </w:t>
      </w:r>
      <w:r w:rsidRPr="001B0EA3">
        <w:rPr>
          <w:sz w:val="22"/>
          <w:szCs w:val="22"/>
        </w:rPr>
        <w:t xml:space="preserve">příslušnému </w:t>
      </w:r>
      <w:r>
        <w:rPr>
          <w:sz w:val="22"/>
          <w:szCs w:val="22"/>
        </w:rPr>
        <w:t>poradc</w:t>
      </w:r>
      <w:r w:rsidRPr="001B0EA3">
        <w:rPr>
          <w:sz w:val="22"/>
          <w:szCs w:val="22"/>
        </w:rPr>
        <w:t>i.</w:t>
      </w:r>
    </w:p>
    <w:p w:rsidR="006E1FEC" w:rsidRPr="001B0EA3" w:rsidRDefault="006E1FEC" w:rsidP="006E1FEC">
      <w:pPr>
        <w:spacing w:before="120" w:after="120"/>
        <w:jc w:val="both"/>
        <w:rPr>
          <w:sz w:val="22"/>
          <w:szCs w:val="22"/>
        </w:rPr>
      </w:pPr>
      <w:r w:rsidRPr="001B0EA3">
        <w:rPr>
          <w:sz w:val="22"/>
          <w:szCs w:val="22"/>
        </w:rPr>
        <w:t xml:space="preserve">Reklamující je oprávněn </w:t>
      </w:r>
      <w:r>
        <w:rPr>
          <w:sz w:val="22"/>
          <w:szCs w:val="22"/>
        </w:rPr>
        <w:t xml:space="preserve">provést reklamaci poskytnuté služby </w:t>
      </w:r>
      <w:r w:rsidRPr="001B0EA3">
        <w:rPr>
          <w:sz w:val="22"/>
          <w:szCs w:val="22"/>
        </w:rPr>
        <w:t>do 30 (třiceti) dnů od provedení konkrétní služby.</w:t>
      </w:r>
      <w:r>
        <w:rPr>
          <w:sz w:val="22"/>
          <w:szCs w:val="22"/>
        </w:rPr>
        <w:t xml:space="preserve"> Od r</w:t>
      </w:r>
      <w:r w:rsidRPr="001B0EA3">
        <w:rPr>
          <w:sz w:val="22"/>
          <w:szCs w:val="22"/>
        </w:rPr>
        <w:t>eklamujícího je vyžadována specifikace služby, kterou reklamuje, a předložení podkladů, kterými reklamaci zdůvodňuje. Reklamac</w:t>
      </w:r>
      <w:r>
        <w:rPr>
          <w:sz w:val="22"/>
          <w:szCs w:val="22"/>
        </w:rPr>
        <w:t>i poradce vyřídí</w:t>
      </w:r>
      <w:r w:rsidRPr="001B0E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Pr="001B0EA3">
        <w:rPr>
          <w:sz w:val="22"/>
          <w:szCs w:val="22"/>
        </w:rPr>
        <w:t>v případě, že podklady budou jen částečné nebo dokonce žádné (např. došlo-li k jejich ztrátě). V takovém případě se považují za</w:t>
      </w:r>
      <w:r>
        <w:rPr>
          <w:sz w:val="22"/>
          <w:szCs w:val="22"/>
        </w:rPr>
        <w:t> </w:t>
      </w:r>
      <w:r w:rsidRPr="001B0EA3">
        <w:rPr>
          <w:sz w:val="22"/>
          <w:szCs w:val="22"/>
        </w:rPr>
        <w:t>správné a úplné doklady archivované v</w:t>
      </w:r>
      <w:r>
        <w:rPr>
          <w:sz w:val="22"/>
          <w:szCs w:val="22"/>
        </w:rPr>
        <w:t xml:space="preserve">e </w:t>
      </w:r>
      <w:r>
        <w:rPr>
          <w:sz w:val="22"/>
        </w:rPr>
        <w:t>společnosti</w:t>
      </w:r>
      <w:r w:rsidRPr="001B0EA3">
        <w:rPr>
          <w:sz w:val="22"/>
          <w:szCs w:val="22"/>
        </w:rPr>
        <w:t>.</w:t>
      </w:r>
    </w:p>
    <w:p w:rsidR="006E1FEC" w:rsidRPr="001B0EA3" w:rsidRDefault="006E1FEC" w:rsidP="006E1FEC">
      <w:pPr>
        <w:spacing w:before="120" w:after="120"/>
        <w:jc w:val="both"/>
        <w:rPr>
          <w:sz w:val="22"/>
          <w:szCs w:val="22"/>
        </w:rPr>
      </w:pPr>
      <w:r>
        <w:rPr>
          <w:sz w:val="22"/>
        </w:rPr>
        <w:lastRenderedPageBreak/>
        <w:t>Poradce</w:t>
      </w:r>
      <w:r w:rsidRPr="001B0EA3">
        <w:rPr>
          <w:sz w:val="22"/>
          <w:szCs w:val="22"/>
        </w:rPr>
        <w:t xml:space="preserve"> po přijetí každé reklamace ověřuje podle zjištěných identifikačních údaj</w:t>
      </w:r>
      <w:r>
        <w:rPr>
          <w:sz w:val="22"/>
          <w:szCs w:val="22"/>
        </w:rPr>
        <w:t>ů a předmětu reklamace, zda je r</w:t>
      </w:r>
      <w:r w:rsidRPr="001B0EA3">
        <w:rPr>
          <w:sz w:val="22"/>
          <w:szCs w:val="22"/>
        </w:rPr>
        <w:t xml:space="preserve">eklamující osobou oprávněnou reklamaci uplatnit. Nejsou-li údaje z písemného podání dostačující, vyzve </w:t>
      </w:r>
      <w:r>
        <w:rPr>
          <w:sz w:val="22"/>
        </w:rPr>
        <w:t>poradce</w:t>
      </w:r>
      <w:r>
        <w:rPr>
          <w:sz w:val="22"/>
          <w:szCs w:val="22"/>
        </w:rPr>
        <w:t xml:space="preserve"> r</w:t>
      </w:r>
      <w:r w:rsidRPr="001B0EA3">
        <w:rPr>
          <w:sz w:val="22"/>
          <w:szCs w:val="22"/>
        </w:rPr>
        <w:t>eklamujícího k jejich doplnění, případně k osobnímu projednání.</w:t>
      </w:r>
    </w:p>
    <w:p w:rsidR="006E1FEC" w:rsidRPr="001B0EA3" w:rsidRDefault="006E1FEC" w:rsidP="006E1FE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Není-li prokázána oprávněnost r</w:t>
      </w:r>
      <w:r w:rsidRPr="001B0EA3">
        <w:rPr>
          <w:sz w:val="22"/>
          <w:szCs w:val="22"/>
        </w:rPr>
        <w:t xml:space="preserve">eklamujícího k jednání o reklamaci, </w:t>
      </w:r>
      <w:r>
        <w:rPr>
          <w:sz w:val="22"/>
        </w:rPr>
        <w:t>poradce</w:t>
      </w:r>
      <w:r w:rsidRPr="001B0EA3">
        <w:rPr>
          <w:sz w:val="22"/>
          <w:szCs w:val="22"/>
        </w:rPr>
        <w:t xml:space="preserve"> projednávání odloží nebo odmítne. </w:t>
      </w:r>
    </w:p>
    <w:p w:rsidR="006E1FEC" w:rsidRPr="001B0EA3" w:rsidRDefault="006E1FEC" w:rsidP="006E1FEC">
      <w:pPr>
        <w:spacing w:before="120" w:after="120"/>
        <w:jc w:val="both"/>
        <w:rPr>
          <w:sz w:val="22"/>
          <w:szCs w:val="22"/>
        </w:rPr>
      </w:pPr>
      <w:r w:rsidRPr="001B0EA3">
        <w:rPr>
          <w:sz w:val="22"/>
          <w:szCs w:val="22"/>
        </w:rPr>
        <w:t xml:space="preserve">Reklamaci přijímá </w:t>
      </w:r>
      <w:r>
        <w:rPr>
          <w:sz w:val="22"/>
          <w:szCs w:val="22"/>
        </w:rPr>
        <w:t>poradce</w:t>
      </w:r>
      <w:r w:rsidRPr="001B0EA3">
        <w:rPr>
          <w:sz w:val="22"/>
          <w:szCs w:val="22"/>
        </w:rPr>
        <w:t xml:space="preserve"> </w:t>
      </w:r>
      <w:r>
        <w:rPr>
          <w:sz w:val="22"/>
          <w:szCs w:val="22"/>
        </w:rPr>
        <w:t>nebo zaměstnanec s</w:t>
      </w:r>
      <w:r>
        <w:rPr>
          <w:sz w:val="22"/>
        </w:rPr>
        <w:t>polečnosti</w:t>
      </w:r>
      <w:r w:rsidRPr="001B0EA3">
        <w:rPr>
          <w:sz w:val="22"/>
          <w:szCs w:val="22"/>
        </w:rPr>
        <w:t>, kter</w:t>
      </w:r>
      <w:r>
        <w:rPr>
          <w:sz w:val="22"/>
          <w:szCs w:val="22"/>
        </w:rPr>
        <w:t>ý</w:t>
      </w:r>
      <w:r w:rsidRPr="001B0EA3">
        <w:rPr>
          <w:sz w:val="22"/>
          <w:szCs w:val="22"/>
        </w:rPr>
        <w:t xml:space="preserve"> poskytl reklamovanou službu.</w:t>
      </w:r>
    </w:p>
    <w:p w:rsidR="006E1FEC" w:rsidRPr="001B0EA3" w:rsidRDefault="006E1FEC" w:rsidP="006E1FE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Příslušný </w:t>
      </w:r>
      <w:proofErr w:type="gramStart"/>
      <w:r>
        <w:rPr>
          <w:sz w:val="22"/>
          <w:szCs w:val="22"/>
        </w:rPr>
        <w:t>poradce - zaměstnanec</w:t>
      </w:r>
      <w:proofErr w:type="gramEnd"/>
      <w:r w:rsidRPr="001B0EA3">
        <w:rPr>
          <w:sz w:val="22"/>
          <w:szCs w:val="22"/>
        </w:rPr>
        <w:t>:</w:t>
      </w:r>
    </w:p>
    <w:p w:rsidR="006E1FEC" w:rsidRPr="001B0EA3" w:rsidRDefault="006E1FEC" w:rsidP="006E1FEC">
      <w:pPr>
        <w:numPr>
          <w:ilvl w:val="0"/>
          <w:numId w:val="4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potvrdí r</w:t>
      </w:r>
      <w:r w:rsidRPr="001B0EA3">
        <w:rPr>
          <w:sz w:val="22"/>
          <w:szCs w:val="22"/>
        </w:rPr>
        <w:t>eklamujícímu doložitelným způsobem přijetí reklamace;</w:t>
      </w:r>
    </w:p>
    <w:p w:rsidR="006E1FEC" w:rsidRPr="001B0EA3" w:rsidRDefault="006E1FEC" w:rsidP="006E1FEC">
      <w:pPr>
        <w:numPr>
          <w:ilvl w:val="0"/>
          <w:numId w:val="4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1B0EA3">
        <w:rPr>
          <w:sz w:val="22"/>
          <w:szCs w:val="22"/>
        </w:rPr>
        <w:t xml:space="preserve">kontroluje oprávněnost podání reklamace podle dokladů předložených </w:t>
      </w:r>
      <w:r>
        <w:rPr>
          <w:sz w:val="22"/>
          <w:szCs w:val="22"/>
        </w:rPr>
        <w:t>r</w:t>
      </w:r>
      <w:r w:rsidRPr="001B0EA3">
        <w:rPr>
          <w:sz w:val="22"/>
          <w:szCs w:val="22"/>
        </w:rPr>
        <w:t>eklamujícím a vlastních dostupných informací;</w:t>
      </w:r>
    </w:p>
    <w:p w:rsidR="006E1FEC" w:rsidRPr="001B0EA3" w:rsidRDefault="006E1FEC" w:rsidP="006E1FEC">
      <w:pPr>
        <w:numPr>
          <w:ilvl w:val="0"/>
          <w:numId w:val="4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informuje r</w:t>
      </w:r>
      <w:r w:rsidRPr="001B0EA3">
        <w:rPr>
          <w:sz w:val="22"/>
          <w:szCs w:val="22"/>
        </w:rPr>
        <w:t>eklamujícího o následném postupu vyřízení reklamace;</w:t>
      </w:r>
    </w:p>
    <w:p w:rsidR="006E1FEC" w:rsidRPr="001B0EA3" w:rsidRDefault="006E1FEC" w:rsidP="006E1FEC">
      <w:pPr>
        <w:numPr>
          <w:ilvl w:val="0"/>
          <w:numId w:val="4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1B0EA3">
        <w:rPr>
          <w:sz w:val="22"/>
          <w:szCs w:val="22"/>
        </w:rPr>
        <w:t>zpracovává a shromažďuje dokumentaci k reklamaci;</w:t>
      </w:r>
    </w:p>
    <w:p w:rsidR="006E1FEC" w:rsidRPr="001B0EA3" w:rsidRDefault="006E1FEC" w:rsidP="006E1FEC">
      <w:pPr>
        <w:numPr>
          <w:ilvl w:val="0"/>
          <w:numId w:val="4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1B0EA3">
        <w:rPr>
          <w:sz w:val="22"/>
          <w:szCs w:val="22"/>
        </w:rPr>
        <w:t xml:space="preserve">v případě, že k vyřešení reklamace bude zapotřebí odborného posouzení, </w:t>
      </w:r>
      <w:r>
        <w:rPr>
          <w:sz w:val="22"/>
          <w:szCs w:val="22"/>
        </w:rPr>
        <w:t xml:space="preserve">příslušný poradce – zaměstnanec </w:t>
      </w:r>
      <w:r w:rsidRPr="001B0EA3">
        <w:rPr>
          <w:sz w:val="22"/>
          <w:szCs w:val="22"/>
        </w:rPr>
        <w:t>požádá o spolupráci</w:t>
      </w:r>
      <w:r>
        <w:rPr>
          <w:sz w:val="22"/>
          <w:szCs w:val="22"/>
        </w:rPr>
        <w:t xml:space="preserve"> jednatele společnosti</w:t>
      </w:r>
      <w:r w:rsidRPr="001B0EA3">
        <w:rPr>
          <w:sz w:val="22"/>
          <w:szCs w:val="22"/>
        </w:rPr>
        <w:t>;</w:t>
      </w:r>
    </w:p>
    <w:p w:rsidR="006E1FEC" w:rsidRPr="001B0EA3" w:rsidRDefault="006E1FEC" w:rsidP="006E1FEC">
      <w:pPr>
        <w:numPr>
          <w:ilvl w:val="0"/>
          <w:numId w:val="4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1B0EA3">
        <w:rPr>
          <w:sz w:val="22"/>
          <w:szCs w:val="22"/>
        </w:rPr>
        <w:t>písemně in</w:t>
      </w:r>
      <w:r>
        <w:rPr>
          <w:sz w:val="22"/>
          <w:szCs w:val="22"/>
        </w:rPr>
        <w:t>formuje r</w:t>
      </w:r>
      <w:r w:rsidRPr="001B0EA3">
        <w:rPr>
          <w:sz w:val="22"/>
          <w:szCs w:val="22"/>
        </w:rPr>
        <w:t>eklamujícího o vyřízení reklamace</w:t>
      </w:r>
      <w:r>
        <w:rPr>
          <w:sz w:val="22"/>
          <w:szCs w:val="22"/>
        </w:rPr>
        <w:t>, včetně odůvodnění</w:t>
      </w:r>
      <w:r w:rsidRPr="001B0EA3">
        <w:rPr>
          <w:sz w:val="22"/>
          <w:szCs w:val="22"/>
        </w:rPr>
        <w:t xml:space="preserve"> (uznání a řešení reklamace nebo důvody je</w:t>
      </w:r>
      <w:r>
        <w:rPr>
          <w:sz w:val="22"/>
          <w:szCs w:val="22"/>
        </w:rPr>
        <w:t>jího</w:t>
      </w:r>
      <w:r w:rsidRPr="001B0EA3">
        <w:rPr>
          <w:sz w:val="22"/>
          <w:szCs w:val="22"/>
        </w:rPr>
        <w:t xml:space="preserve"> </w:t>
      </w:r>
      <w:r>
        <w:rPr>
          <w:sz w:val="22"/>
          <w:szCs w:val="22"/>
        </w:rPr>
        <w:t>odmítnutí</w:t>
      </w:r>
      <w:r w:rsidRPr="001B0EA3">
        <w:rPr>
          <w:sz w:val="22"/>
          <w:szCs w:val="22"/>
        </w:rPr>
        <w:t>);</w:t>
      </w:r>
    </w:p>
    <w:p w:rsidR="006E1FEC" w:rsidRPr="001B0EA3" w:rsidRDefault="006E1FEC" w:rsidP="006E1FEC">
      <w:pPr>
        <w:numPr>
          <w:ilvl w:val="0"/>
          <w:numId w:val="4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1B0EA3">
        <w:rPr>
          <w:sz w:val="22"/>
          <w:szCs w:val="22"/>
        </w:rPr>
        <w:t>po vyřízení reklamace zajišťuje předání příslušné dokumentace;</w:t>
      </w:r>
      <w:r>
        <w:rPr>
          <w:sz w:val="22"/>
          <w:szCs w:val="22"/>
        </w:rPr>
        <w:t xml:space="preserve"> a</w:t>
      </w:r>
    </w:p>
    <w:p w:rsidR="006E1FEC" w:rsidRPr="001B0EA3" w:rsidRDefault="006E1FEC" w:rsidP="006E1FEC">
      <w:pPr>
        <w:numPr>
          <w:ilvl w:val="0"/>
          <w:numId w:val="4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1B0EA3">
        <w:rPr>
          <w:sz w:val="22"/>
          <w:szCs w:val="22"/>
        </w:rPr>
        <w:t xml:space="preserve">v případě nesouhlasu </w:t>
      </w:r>
      <w:r>
        <w:rPr>
          <w:sz w:val="22"/>
          <w:szCs w:val="22"/>
        </w:rPr>
        <w:t>r</w:t>
      </w:r>
      <w:r w:rsidRPr="001B0EA3">
        <w:rPr>
          <w:sz w:val="22"/>
          <w:szCs w:val="22"/>
        </w:rPr>
        <w:t xml:space="preserve">eklamujícího s vyřízením reklamace informuje bez zbytečného odkladu </w:t>
      </w:r>
      <w:r>
        <w:rPr>
          <w:sz w:val="22"/>
          <w:szCs w:val="22"/>
        </w:rPr>
        <w:t>jednatele s</w:t>
      </w:r>
      <w:r w:rsidRPr="001B0EA3">
        <w:rPr>
          <w:sz w:val="22"/>
          <w:szCs w:val="22"/>
        </w:rPr>
        <w:t>polečnosti.</w:t>
      </w:r>
    </w:p>
    <w:p w:rsidR="006E1FEC" w:rsidRPr="001B0EA3" w:rsidRDefault="006E1FEC" w:rsidP="006E1FEC">
      <w:pPr>
        <w:spacing w:before="120" w:after="120"/>
        <w:jc w:val="both"/>
        <w:rPr>
          <w:sz w:val="22"/>
          <w:szCs w:val="22"/>
        </w:rPr>
      </w:pPr>
      <w:r w:rsidRPr="001B0EA3">
        <w:rPr>
          <w:sz w:val="22"/>
          <w:szCs w:val="22"/>
        </w:rPr>
        <w:t>O oprávněnosti, příp. neoprávněnosti, a způsobu vyřízení rekl</w:t>
      </w:r>
      <w:r>
        <w:rPr>
          <w:sz w:val="22"/>
          <w:szCs w:val="22"/>
        </w:rPr>
        <w:t xml:space="preserve">amace rozhoduje po projednání s příslušným </w:t>
      </w:r>
      <w:proofErr w:type="gramStart"/>
      <w:r>
        <w:rPr>
          <w:sz w:val="22"/>
          <w:szCs w:val="22"/>
        </w:rPr>
        <w:t>poradcem - zaměstnancem</w:t>
      </w:r>
      <w:proofErr w:type="gramEnd"/>
      <w:r>
        <w:rPr>
          <w:sz w:val="22"/>
          <w:szCs w:val="22"/>
        </w:rPr>
        <w:t xml:space="preserve"> jednatel společnosti. </w:t>
      </w:r>
    </w:p>
    <w:p w:rsidR="006E1FEC" w:rsidRPr="001B0EA3" w:rsidRDefault="006E1FEC" w:rsidP="006E1FEC">
      <w:pPr>
        <w:spacing w:before="120" w:after="120"/>
        <w:jc w:val="both"/>
        <w:rPr>
          <w:sz w:val="22"/>
          <w:szCs w:val="22"/>
        </w:rPr>
      </w:pPr>
      <w:r w:rsidRPr="001B0EA3">
        <w:rPr>
          <w:sz w:val="22"/>
          <w:szCs w:val="22"/>
        </w:rPr>
        <w:t>O způsobu vyřízení reklamace informuje</w:t>
      </w:r>
      <w:r>
        <w:rPr>
          <w:sz w:val="22"/>
          <w:szCs w:val="22"/>
        </w:rPr>
        <w:t xml:space="preserve"> poradce – zaměstnanec jednatele společnosti, který </w:t>
      </w:r>
      <w:r w:rsidRPr="001B0EA3">
        <w:rPr>
          <w:sz w:val="22"/>
          <w:szCs w:val="22"/>
        </w:rPr>
        <w:t>posoudí způsob vyřízení reklamace, případně navrhne jiný způsob.</w:t>
      </w:r>
    </w:p>
    <w:p w:rsidR="006E1FEC" w:rsidRPr="001B0EA3" w:rsidRDefault="006E1FEC" w:rsidP="006E1FEC">
      <w:pPr>
        <w:spacing w:before="120" w:after="120"/>
        <w:jc w:val="both"/>
        <w:rPr>
          <w:sz w:val="22"/>
          <w:szCs w:val="22"/>
        </w:rPr>
      </w:pPr>
      <w:r w:rsidRPr="001B0EA3">
        <w:rPr>
          <w:sz w:val="22"/>
          <w:szCs w:val="22"/>
        </w:rPr>
        <w:t xml:space="preserve">Rozhodnutí o reklamaci je </w:t>
      </w:r>
      <w:r>
        <w:rPr>
          <w:sz w:val="22"/>
          <w:szCs w:val="22"/>
        </w:rPr>
        <w:t>r</w:t>
      </w:r>
      <w:r w:rsidRPr="001B0EA3">
        <w:rPr>
          <w:sz w:val="22"/>
          <w:szCs w:val="22"/>
        </w:rPr>
        <w:t>eklamujícímu zasláno písemně. Reklamující je oprávněn požádat, aby</w:t>
      </w:r>
      <w:r>
        <w:rPr>
          <w:sz w:val="22"/>
          <w:szCs w:val="22"/>
        </w:rPr>
        <w:t> </w:t>
      </w:r>
      <w:r w:rsidRPr="001B0EA3">
        <w:rPr>
          <w:sz w:val="22"/>
          <w:szCs w:val="22"/>
        </w:rPr>
        <w:t xml:space="preserve">bylo rozhodnutí zasláno jinou formou či </w:t>
      </w:r>
      <w:r>
        <w:rPr>
          <w:sz w:val="22"/>
          <w:szCs w:val="22"/>
        </w:rPr>
        <w:t>na jinou</w:t>
      </w:r>
      <w:r w:rsidRPr="001B0EA3">
        <w:rPr>
          <w:sz w:val="22"/>
          <w:szCs w:val="22"/>
        </w:rPr>
        <w:t xml:space="preserve"> doručovací adres</w:t>
      </w:r>
      <w:r>
        <w:rPr>
          <w:sz w:val="22"/>
          <w:szCs w:val="22"/>
        </w:rPr>
        <w:t>u</w:t>
      </w:r>
      <w:r w:rsidRPr="001B0EA3">
        <w:rPr>
          <w:sz w:val="22"/>
          <w:szCs w:val="22"/>
        </w:rPr>
        <w:t>.</w:t>
      </w:r>
    </w:p>
    <w:p w:rsidR="006E1FEC" w:rsidRPr="009614F3" w:rsidRDefault="006E1FEC" w:rsidP="006E1FEC">
      <w:pPr>
        <w:spacing w:before="120" w:after="120"/>
        <w:jc w:val="both"/>
        <w:rPr>
          <w:sz w:val="22"/>
          <w:szCs w:val="22"/>
        </w:rPr>
      </w:pPr>
      <w:r w:rsidRPr="001B0EA3">
        <w:rPr>
          <w:sz w:val="22"/>
          <w:szCs w:val="22"/>
        </w:rPr>
        <w:t xml:space="preserve">V případě, že </w:t>
      </w:r>
      <w:r>
        <w:rPr>
          <w:sz w:val="22"/>
          <w:szCs w:val="22"/>
        </w:rPr>
        <w:t>r</w:t>
      </w:r>
      <w:r w:rsidRPr="001B0EA3">
        <w:rPr>
          <w:sz w:val="22"/>
          <w:szCs w:val="22"/>
        </w:rPr>
        <w:t xml:space="preserve">eklamující nesouhlasí se způsobem vyřízení reklamace, projedná </w:t>
      </w:r>
      <w:r>
        <w:rPr>
          <w:sz w:val="22"/>
          <w:szCs w:val="22"/>
        </w:rPr>
        <w:t xml:space="preserve">záležitost příslušný poradce – zaměstnanec </w:t>
      </w:r>
      <w:r w:rsidRPr="009614F3">
        <w:rPr>
          <w:sz w:val="22"/>
          <w:szCs w:val="22"/>
        </w:rPr>
        <w:t>s</w:t>
      </w:r>
      <w:r>
        <w:rPr>
          <w:sz w:val="22"/>
          <w:szCs w:val="22"/>
        </w:rPr>
        <w:t xml:space="preserve"> jednatelem společnosti </w:t>
      </w:r>
      <w:r w:rsidRPr="009614F3">
        <w:rPr>
          <w:sz w:val="22"/>
          <w:szCs w:val="22"/>
        </w:rPr>
        <w:t xml:space="preserve">do 7 dnů ode dne, kdy byl o nesouhlasu </w:t>
      </w:r>
      <w:r>
        <w:rPr>
          <w:sz w:val="22"/>
          <w:szCs w:val="22"/>
        </w:rPr>
        <w:t>r</w:t>
      </w:r>
      <w:r w:rsidRPr="009614F3">
        <w:rPr>
          <w:sz w:val="22"/>
          <w:szCs w:val="22"/>
        </w:rPr>
        <w:t>eklamujícího informován.</w:t>
      </w:r>
    </w:p>
    <w:p w:rsidR="006E1FEC" w:rsidRDefault="006E1FEC" w:rsidP="006E1FEC">
      <w:pPr>
        <w:spacing w:before="120" w:after="120"/>
        <w:jc w:val="both"/>
        <w:rPr>
          <w:sz w:val="22"/>
          <w:szCs w:val="22"/>
        </w:rPr>
      </w:pPr>
      <w:r w:rsidRPr="009614F3">
        <w:rPr>
          <w:sz w:val="22"/>
          <w:szCs w:val="22"/>
        </w:rPr>
        <w:t xml:space="preserve">Reklamace musí být vyřízena do 30 dnů od jejího uplatnění. Pokud reklamace nemůže být vyřízena ve lhůtě do 30 dnů od jejího uplatnění, je příslušný </w:t>
      </w:r>
      <w:proofErr w:type="gramStart"/>
      <w:r>
        <w:rPr>
          <w:sz w:val="22"/>
          <w:szCs w:val="22"/>
        </w:rPr>
        <w:t>poradce - zaměstnanec</w:t>
      </w:r>
      <w:proofErr w:type="gramEnd"/>
      <w:r w:rsidRPr="009614F3">
        <w:rPr>
          <w:sz w:val="22"/>
          <w:szCs w:val="22"/>
        </w:rPr>
        <w:t xml:space="preserve"> o této skutečnosti povinen bez</w:t>
      </w:r>
      <w:r>
        <w:rPr>
          <w:sz w:val="22"/>
          <w:szCs w:val="22"/>
        </w:rPr>
        <w:t> </w:t>
      </w:r>
      <w:r w:rsidRPr="009614F3">
        <w:rPr>
          <w:sz w:val="22"/>
          <w:szCs w:val="22"/>
        </w:rPr>
        <w:t>zbytečného odkladu informovat</w:t>
      </w:r>
      <w:r>
        <w:rPr>
          <w:sz w:val="22"/>
          <w:szCs w:val="22"/>
        </w:rPr>
        <w:t xml:space="preserve"> jednatele společnosti</w:t>
      </w:r>
      <w:r w:rsidRPr="009614F3">
        <w:rPr>
          <w:sz w:val="22"/>
          <w:szCs w:val="22"/>
        </w:rPr>
        <w:t>, kter</w:t>
      </w:r>
      <w:r>
        <w:rPr>
          <w:sz w:val="22"/>
          <w:szCs w:val="22"/>
        </w:rPr>
        <w:t>ý</w:t>
      </w:r>
      <w:r w:rsidRPr="009614F3">
        <w:rPr>
          <w:sz w:val="22"/>
          <w:szCs w:val="22"/>
        </w:rPr>
        <w:t xml:space="preserve"> navrhne další postup</w:t>
      </w:r>
      <w:r>
        <w:rPr>
          <w:sz w:val="22"/>
          <w:szCs w:val="22"/>
        </w:rPr>
        <w:t xml:space="preserve"> </w:t>
      </w:r>
      <w:r w:rsidRPr="009614F3">
        <w:rPr>
          <w:sz w:val="22"/>
          <w:szCs w:val="22"/>
        </w:rPr>
        <w:t>a rozhodne</w:t>
      </w:r>
      <w:r>
        <w:rPr>
          <w:sz w:val="22"/>
          <w:szCs w:val="22"/>
        </w:rPr>
        <w:t xml:space="preserve"> </w:t>
      </w:r>
      <w:r w:rsidRPr="009614F3">
        <w:rPr>
          <w:sz w:val="22"/>
          <w:szCs w:val="22"/>
        </w:rPr>
        <w:t>o informování</w:t>
      </w:r>
      <w:r>
        <w:rPr>
          <w:sz w:val="22"/>
          <w:szCs w:val="22"/>
        </w:rPr>
        <w:t xml:space="preserve"> r</w:t>
      </w:r>
      <w:r w:rsidRPr="009614F3">
        <w:rPr>
          <w:sz w:val="22"/>
          <w:szCs w:val="22"/>
        </w:rPr>
        <w:t>eklamujícího.</w:t>
      </w:r>
    </w:p>
    <w:p w:rsidR="006E1FEC" w:rsidRDefault="006E1FEC" w:rsidP="006E1FEC">
      <w:pPr>
        <w:spacing w:before="120" w:after="120"/>
        <w:jc w:val="both"/>
        <w:rPr>
          <w:sz w:val="22"/>
          <w:szCs w:val="22"/>
        </w:rPr>
      </w:pPr>
      <w:r w:rsidRPr="001B0EA3">
        <w:rPr>
          <w:sz w:val="22"/>
          <w:szCs w:val="22"/>
        </w:rPr>
        <w:t xml:space="preserve">Dokumentace o vyřízených reklamacích je vedena </w:t>
      </w:r>
      <w:r>
        <w:rPr>
          <w:sz w:val="22"/>
          <w:szCs w:val="22"/>
        </w:rPr>
        <w:t xml:space="preserve">provozně-administrativním úsek v souladu s vnitřními postupy pro zpracování a evidenci informací. </w:t>
      </w:r>
    </w:p>
    <w:p w:rsidR="006E1FEC" w:rsidRPr="002D5C00" w:rsidRDefault="006E1FEC" w:rsidP="006E1FEC">
      <w:pPr>
        <w:widowControl w:val="0"/>
        <w:spacing w:before="120" w:after="120"/>
        <w:jc w:val="center"/>
        <w:outlineLvl w:val="0"/>
        <w:rPr>
          <w:sz w:val="22"/>
          <w:szCs w:val="22"/>
          <w:lang w:val="en-US"/>
        </w:rPr>
      </w:pPr>
      <w:bookmarkStart w:id="5" w:name="_Toc435604498"/>
      <w:bookmarkStart w:id="6" w:name="_Toc430537613"/>
      <w:bookmarkStart w:id="7" w:name="_Toc430537616"/>
      <w:bookmarkStart w:id="8" w:name="_Toc430537617"/>
      <w:bookmarkStart w:id="9" w:name="_Toc430537618"/>
      <w:bookmarkStart w:id="10" w:name="_Toc430537619"/>
      <w:bookmarkStart w:id="11" w:name="_Toc430537621"/>
      <w:bookmarkStart w:id="12" w:name="_Toc430537622"/>
      <w:bookmarkStart w:id="13" w:name="_Toc430537626"/>
      <w:bookmarkStart w:id="14" w:name="_Toc430537629"/>
      <w:bookmarkStart w:id="15" w:name="_Toc430537630"/>
      <w:bookmarkStart w:id="16" w:name="_Toc430537631"/>
      <w:bookmarkStart w:id="17" w:name="_Toc430537635"/>
      <w:bookmarkStart w:id="18" w:name="_Toc430537636"/>
      <w:bookmarkStart w:id="19" w:name="_Toc430537637"/>
      <w:bookmarkStart w:id="20" w:name="_Toc430537638"/>
      <w:bookmarkStart w:id="21" w:name="_Toc430537639"/>
      <w:bookmarkStart w:id="22" w:name="_Toc430537640"/>
      <w:bookmarkStart w:id="23" w:name="_Toc430537641"/>
      <w:bookmarkStart w:id="24" w:name="_Toc430537642"/>
      <w:bookmarkStart w:id="25" w:name="_Toc430537643"/>
      <w:bookmarkStart w:id="26" w:name="_Toc430537644"/>
      <w:bookmarkStart w:id="27" w:name="_Toc430537645"/>
      <w:bookmarkStart w:id="28" w:name="_Toc430537647"/>
      <w:bookmarkStart w:id="29" w:name="_Toc430537648"/>
      <w:bookmarkStart w:id="30" w:name="_Toc430537651"/>
      <w:bookmarkStart w:id="31" w:name="_Toc430537652"/>
      <w:bookmarkStart w:id="32" w:name="_Toc430537653"/>
      <w:bookmarkStart w:id="33" w:name="_Toc430537654"/>
      <w:bookmarkStart w:id="34" w:name="_Toc430537655"/>
      <w:bookmarkStart w:id="35" w:name="_Toc430537660"/>
      <w:bookmarkStart w:id="36" w:name="_Toc430537662"/>
      <w:bookmarkStart w:id="37" w:name="_Toc430537663"/>
      <w:bookmarkStart w:id="38" w:name="_Toc430537664"/>
      <w:bookmarkStart w:id="39" w:name="_Toc430537667"/>
      <w:bookmarkStart w:id="40" w:name="_Toc430537670"/>
      <w:bookmarkStart w:id="41" w:name="_Toc430537671"/>
      <w:bookmarkStart w:id="42" w:name="_Toc430537672"/>
      <w:bookmarkStart w:id="43" w:name="_Toc430537673"/>
      <w:bookmarkStart w:id="44" w:name="_Toc430537674"/>
      <w:bookmarkStart w:id="45" w:name="_Toc430537678"/>
      <w:bookmarkStart w:id="46" w:name="_Toc430537679"/>
      <w:bookmarkStart w:id="47" w:name="_Toc430537683"/>
      <w:bookmarkStart w:id="48" w:name="_Toc430537684"/>
      <w:bookmarkStart w:id="49" w:name="_Toc430537687"/>
      <w:bookmarkStart w:id="50" w:name="_Toc430537691"/>
      <w:bookmarkStart w:id="51" w:name="_Toc430537692"/>
      <w:bookmarkStart w:id="52" w:name="_Toc430537693"/>
      <w:bookmarkStart w:id="53" w:name="_Toc430537694"/>
      <w:bookmarkStart w:id="54" w:name="_Toc430537695"/>
      <w:bookmarkStart w:id="55" w:name="_Toc430537696"/>
      <w:bookmarkStart w:id="56" w:name="_Toc430537697"/>
      <w:bookmarkStart w:id="57" w:name="_Toc430537698"/>
      <w:bookmarkStart w:id="58" w:name="_Toc430537699"/>
      <w:bookmarkStart w:id="59" w:name="_Toc430537700"/>
      <w:bookmarkStart w:id="60" w:name="_Toc430537701"/>
      <w:bookmarkStart w:id="61" w:name="_Toc430537702"/>
      <w:bookmarkStart w:id="62" w:name="_Toc430537703"/>
      <w:bookmarkStart w:id="63" w:name="_Toc430537704"/>
      <w:bookmarkStart w:id="64" w:name="_Toc430537705"/>
      <w:bookmarkStart w:id="65" w:name="_Toc430537709"/>
      <w:bookmarkStart w:id="66" w:name="_Toc430537712"/>
      <w:bookmarkStart w:id="67" w:name="_Toc430537714"/>
      <w:bookmarkStart w:id="68" w:name="_Toc430537715"/>
      <w:bookmarkStart w:id="69" w:name="_Toc430537716"/>
      <w:bookmarkStart w:id="70" w:name="_Toc43053772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1C5B56" w:rsidRDefault="004C328A"/>
    <w:sectPr w:rsidR="001C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2743"/>
    <w:multiLevelType w:val="hybridMultilevel"/>
    <w:tmpl w:val="EB0CD6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99C339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3979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95B3371"/>
    <w:multiLevelType w:val="hybridMultilevel"/>
    <w:tmpl w:val="892038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91205"/>
    <w:multiLevelType w:val="hybridMultilevel"/>
    <w:tmpl w:val="DA3A6132"/>
    <w:lvl w:ilvl="0" w:tplc="13225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EC"/>
    <w:rsid w:val="00360F99"/>
    <w:rsid w:val="004C328A"/>
    <w:rsid w:val="005C10FB"/>
    <w:rsid w:val="00682258"/>
    <w:rsid w:val="006E1FEC"/>
    <w:rsid w:val="00737F65"/>
    <w:rsid w:val="00B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7F75"/>
  <w15:chartTrackingRefBased/>
  <w15:docId w15:val="{8C812EE9-0CD5-4379-93C3-2CB4511B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FEC"/>
    <w:pPr>
      <w:spacing w:after="0" w:line="240" w:lineRule="auto"/>
    </w:pPr>
    <w:rPr>
      <w:rFonts w:ascii="Arial" w:eastAsia="Times New Roman" w:hAnsi="Arial" w:cs="Arial"/>
      <w:b w:val="0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1FEC"/>
    <w:pPr>
      <w:widowControl w:val="0"/>
      <w:numPr>
        <w:numId w:val="1"/>
      </w:numPr>
      <w:spacing w:after="220"/>
      <w:outlineLvl w:val="0"/>
    </w:pPr>
    <w:rPr>
      <w:b/>
      <w:noProof/>
      <w:color w:val="283164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6E1FEC"/>
    <w:pPr>
      <w:widowControl w:val="0"/>
      <w:numPr>
        <w:ilvl w:val="1"/>
        <w:numId w:val="1"/>
      </w:numPr>
      <w:spacing w:before="220" w:after="220"/>
      <w:outlineLvl w:val="1"/>
    </w:pPr>
    <w:rPr>
      <w:b/>
      <w:color w:val="283164"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6E1FEC"/>
    <w:pPr>
      <w:keepNext/>
      <w:numPr>
        <w:ilvl w:val="2"/>
        <w:numId w:val="1"/>
      </w:numPr>
      <w:spacing w:before="220" w:after="220"/>
      <w:outlineLvl w:val="2"/>
    </w:pPr>
    <w:rPr>
      <w:b/>
      <w:color w:val="283164"/>
      <w:szCs w:val="22"/>
    </w:rPr>
  </w:style>
  <w:style w:type="paragraph" w:styleId="Nadpis4">
    <w:name w:val="heading 4"/>
    <w:basedOn w:val="Normln"/>
    <w:next w:val="Normln"/>
    <w:link w:val="Nadpis4Char"/>
    <w:qFormat/>
    <w:rsid w:val="006E1FEC"/>
    <w:pPr>
      <w:keepNext/>
      <w:numPr>
        <w:ilvl w:val="3"/>
        <w:numId w:val="1"/>
      </w:numPr>
      <w:spacing w:before="180" w:after="120"/>
      <w:outlineLvl w:val="3"/>
    </w:pPr>
    <w:rPr>
      <w:b/>
      <w:bCs/>
      <w:color w:val="283164"/>
      <w:szCs w:val="20"/>
      <w:lang w:val="la-Latn"/>
    </w:rPr>
  </w:style>
  <w:style w:type="paragraph" w:styleId="Nadpis5">
    <w:name w:val="heading 5"/>
    <w:basedOn w:val="Normln"/>
    <w:next w:val="Normln"/>
    <w:link w:val="Nadpis5Char"/>
    <w:qFormat/>
    <w:rsid w:val="006E1FEC"/>
    <w:pPr>
      <w:keepNext/>
      <w:numPr>
        <w:ilvl w:val="4"/>
        <w:numId w:val="1"/>
      </w:numPr>
      <w:spacing w:before="180" w:after="120"/>
      <w:outlineLvl w:val="4"/>
    </w:pPr>
    <w:rPr>
      <w:b/>
      <w:color w:val="283164"/>
      <w:szCs w:val="22"/>
    </w:rPr>
  </w:style>
  <w:style w:type="paragraph" w:styleId="Nadpis6">
    <w:name w:val="heading 6"/>
    <w:basedOn w:val="Normln"/>
    <w:next w:val="Normln"/>
    <w:link w:val="Nadpis6Char"/>
    <w:qFormat/>
    <w:rsid w:val="006E1FEC"/>
    <w:pPr>
      <w:keepNext/>
      <w:numPr>
        <w:ilvl w:val="5"/>
        <w:numId w:val="1"/>
      </w:numPr>
      <w:jc w:val="center"/>
      <w:outlineLvl w:val="5"/>
    </w:pPr>
    <w:rPr>
      <w:b/>
      <w:caps/>
      <w:color w:val="283164"/>
      <w:sz w:val="32"/>
    </w:rPr>
  </w:style>
  <w:style w:type="paragraph" w:styleId="Nadpis7">
    <w:name w:val="heading 7"/>
    <w:basedOn w:val="Normln"/>
    <w:next w:val="Normln"/>
    <w:link w:val="Nadpis7Char"/>
    <w:qFormat/>
    <w:rsid w:val="006E1FE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6E1FE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6E1FEC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1FEC"/>
    <w:rPr>
      <w:rFonts w:ascii="Arial" w:eastAsia="Times New Roman" w:hAnsi="Arial" w:cs="Arial"/>
      <w:noProof/>
      <w:color w:val="283164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E1FEC"/>
    <w:rPr>
      <w:rFonts w:ascii="Arial" w:eastAsia="Times New Roman" w:hAnsi="Arial" w:cs="Arial"/>
      <w:color w:val="283164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E1FEC"/>
    <w:rPr>
      <w:rFonts w:ascii="Arial" w:eastAsia="Times New Roman" w:hAnsi="Arial" w:cs="Arial"/>
      <w:color w:val="283164"/>
      <w:sz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E1FEC"/>
    <w:rPr>
      <w:rFonts w:ascii="Arial" w:eastAsia="Times New Roman" w:hAnsi="Arial" w:cs="Arial"/>
      <w:bCs/>
      <w:color w:val="283164"/>
      <w:sz w:val="20"/>
      <w:szCs w:val="20"/>
      <w:lang w:val="la-Latn" w:eastAsia="cs-CZ"/>
    </w:rPr>
  </w:style>
  <w:style w:type="character" w:customStyle="1" w:styleId="Nadpis5Char">
    <w:name w:val="Nadpis 5 Char"/>
    <w:basedOn w:val="Standardnpsmoodstavce"/>
    <w:link w:val="Nadpis5"/>
    <w:rsid w:val="006E1FEC"/>
    <w:rPr>
      <w:rFonts w:ascii="Arial" w:eastAsia="Times New Roman" w:hAnsi="Arial" w:cs="Arial"/>
      <w:color w:val="283164"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E1FEC"/>
    <w:rPr>
      <w:rFonts w:ascii="Arial" w:eastAsia="Times New Roman" w:hAnsi="Arial" w:cs="Arial"/>
      <w:caps/>
      <w:color w:val="283164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6E1FEC"/>
    <w:rPr>
      <w:rFonts w:ascii="Times New Roman" w:eastAsia="Times New Roman" w:hAnsi="Times New Roman" w:cs="Arial"/>
      <w:b w:val="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E1FEC"/>
    <w:rPr>
      <w:rFonts w:ascii="Times New Roman" w:eastAsia="Times New Roman" w:hAnsi="Times New Roman" w:cs="Arial"/>
      <w:b w:val="0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E1FEC"/>
    <w:rPr>
      <w:rFonts w:ascii="Arial" w:eastAsia="Times New Roman" w:hAnsi="Arial" w:cs="Arial"/>
      <w:b w:val="0"/>
      <w:sz w:val="20"/>
      <w:lang w:eastAsia="cs-CZ"/>
    </w:rPr>
  </w:style>
  <w:style w:type="character" w:styleId="Hypertextovodkaz">
    <w:name w:val="Hyperlink"/>
    <w:uiPriority w:val="99"/>
    <w:rsid w:val="006E1FEC"/>
    <w:rPr>
      <w:rFonts w:ascii="Arial" w:hAnsi="Arial"/>
      <w:color w:val="283164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risk@azris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radka.chvojkova</dc:creator>
  <cp:keywords/>
  <dc:description/>
  <cp:lastModifiedBy>radka.chvojkova</cp:lastModifiedBy>
  <cp:revision>1</cp:revision>
  <dcterms:created xsi:type="dcterms:W3CDTF">2019-02-22T09:54:00Z</dcterms:created>
  <dcterms:modified xsi:type="dcterms:W3CDTF">2019-02-22T10:15:00Z</dcterms:modified>
</cp:coreProperties>
</file>